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19315C" w:rsidRPr="0019315C">
        <w:trPr>
          <w:tblCellSpacing w:w="0" w:type="dxa"/>
        </w:trPr>
        <w:tc>
          <w:tcPr>
            <w:tcW w:w="0" w:type="auto"/>
            <w:tcMar>
              <w:top w:w="1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15C" w:rsidRPr="0019315C" w:rsidRDefault="0019315C" w:rsidP="0019315C">
            <w:pPr>
              <w:widowControl/>
              <w:rPr>
                <w:rFonts w:asciiTheme="majorEastAsia" w:eastAsiaTheme="majorEastAsia" w:hAnsiTheme="majorEastAsia" w:cs="宋体"/>
                <w:b/>
                <w:bCs/>
                <w:kern w:val="0"/>
                <w:sz w:val="30"/>
                <w:szCs w:val="30"/>
              </w:rPr>
            </w:pPr>
            <w:r w:rsidRPr="00274E97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30"/>
                <w:szCs w:val="30"/>
              </w:rPr>
              <w:t>烟台汽车工程职业学院</w:t>
            </w:r>
            <w:r w:rsidRPr="0019315C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30"/>
                <w:szCs w:val="30"/>
              </w:rPr>
              <w:t>关于集中开展“校园贷”专项教育整治工作的通知</w:t>
            </w:r>
          </w:p>
        </w:tc>
      </w:tr>
      <w:tr w:rsidR="0019315C" w:rsidRPr="0019315C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19315C" w:rsidRPr="0019315C" w:rsidRDefault="0019315C" w:rsidP="0019315C">
            <w:pPr>
              <w:widowControl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</w:p>
        </w:tc>
      </w:tr>
      <w:tr w:rsidR="0019315C" w:rsidRPr="0019315C">
        <w:trPr>
          <w:tblCellSpacing w:w="0" w:type="dxa"/>
        </w:trPr>
        <w:tc>
          <w:tcPr>
            <w:tcW w:w="0" w:type="auto"/>
            <w:vAlign w:val="center"/>
            <w:hideMark/>
          </w:tcPr>
          <w:p w:rsidR="0019315C" w:rsidRPr="001427AB" w:rsidRDefault="0019315C" w:rsidP="0019315C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1427A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各系：</w:t>
            </w:r>
          </w:p>
          <w:p w:rsidR="0019315C" w:rsidRPr="001427AB" w:rsidRDefault="0019315C" w:rsidP="001427AB">
            <w:pPr>
              <w:widowControl/>
              <w:spacing w:before="100" w:beforeAutospacing="1" w:after="100" w:afterAutospacing="1" w:line="360" w:lineRule="auto"/>
              <w:ind w:firstLineChars="150" w:firstLine="420"/>
              <w:jc w:val="left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1427A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近期部分不良网贷平台利用虚假宣传、降低信贷门槛等方式，变相发放高利贷，诱导在校大学生</w:t>
            </w:r>
            <w:bookmarkStart w:id="0" w:name="_GoBack"/>
            <w:bookmarkEnd w:id="0"/>
            <w:r w:rsidRPr="001427A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过度透支消费，通过恐吓、胁迫等非法手段进行催收，从中牟取暴利。这些行为侵犯了学生合法权益，干扰了正常的教育教学秩序，严重影响到学校及社会的和谐稳定。根据《中共山东省季高校工委关于集中开展“校园贷”专项教育整治行动的通知》鲁高工委通字[2016]104号文件要求，</w:t>
            </w:r>
            <w:r w:rsidRPr="001427AB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8"/>
                <w:szCs w:val="28"/>
              </w:rPr>
              <w:t>为帮助学生养成文明、健康的生活习惯，引导学生理性消费，自觉抵制不良网贷的诱惑，提高同学们的安全防范能力，切实维护好学生的合法权益，维护好学校正常的教育教学秩序，</w:t>
            </w:r>
            <w:r w:rsidRPr="001427A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学校决定开展“校园贷”专项教育整治行动。</w:t>
            </w:r>
          </w:p>
          <w:p w:rsidR="0019315C" w:rsidRPr="001427AB" w:rsidRDefault="0019315C" w:rsidP="0019315C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1427A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1、开展</w:t>
            </w:r>
            <w:r w:rsidR="008808AC" w:rsidRPr="001427A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好</w:t>
            </w:r>
            <w:r w:rsidRPr="001427A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自查摸排</w:t>
            </w:r>
            <w:r w:rsidR="008808AC" w:rsidRPr="001427A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工作：各</w:t>
            </w:r>
            <w:r w:rsidRPr="001427A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系要全面开展对“校园贷”情况的自查工作，以班级为单位逐一排</w:t>
            </w:r>
            <w:r w:rsidR="008808AC" w:rsidRPr="001427A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查学生是否存在网络借贷情况和网络借贷平台进校园情况。排查情况以</w:t>
            </w:r>
            <w:r w:rsidRPr="001427A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系为单位进行汇总并如实填写《学生参与“校园贷”调查情况统计</w:t>
            </w:r>
            <w:r w:rsidR="008808AC" w:rsidRPr="001427A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表》（</w:t>
            </w:r>
            <w:r w:rsidR="001427A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按保卫处要求</w:t>
            </w:r>
            <w:r w:rsidR="008808AC" w:rsidRPr="001427A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），并把情况电子版、打印版于</w:t>
            </w:r>
            <w:r w:rsidR="001427AB" w:rsidRPr="001427A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12</w:t>
            </w:r>
            <w:r w:rsidR="001427A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日</w:t>
            </w:r>
            <w:r w:rsidR="008808AC" w:rsidRPr="001427A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上交保卫处</w:t>
            </w:r>
            <w:r w:rsidR="00274E97" w:rsidRPr="001427A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、学生处。</w:t>
            </w:r>
          </w:p>
          <w:p w:rsidR="00837542" w:rsidRPr="001427AB" w:rsidRDefault="008808AC" w:rsidP="00837542">
            <w:pPr>
              <w:widowControl/>
              <w:spacing w:line="480" w:lineRule="auto"/>
              <w:ind w:firstLine="560"/>
              <w:rPr>
                <w:rFonts w:asciiTheme="majorEastAsia" w:eastAsiaTheme="majorEastAsia" w:hAnsiTheme="majorEastAsia" w:cs="Times New Roman"/>
                <w:color w:val="000000"/>
                <w:kern w:val="0"/>
                <w:sz w:val="28"/>
                <w:szCs w:val="28"/>
              </w:rPr>
            </w:pPr>
            <w:r w:rsidRPr="001427A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2</w:t>
            </w:r>
            <w:r w:rsidR="0019315C" w:rsidRPr="001427A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、</w:t>
            </w:r>
            <w:r w:rsidR="00837542" w:rsidRPr="001427A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加强</w:t>
            </w:r>
            <w:r w:rsidR="0019315C" w:rsidRPr="001427A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教育</w:t>
            </w:r>
            <w:r w:rsidR="00FC0CDE" w:rsidRPr="001427A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防范</w:t>
            </w:r>
            <w:r w:rsidRPr="001427A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工作</w:t>
            </w:r>
            <w:r w:rsidR="0019315C" w:rsidRPr="001427A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：</w:t>
            </w:r>
            <w:r w:rsidRPr="001427A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各系首先要召开辅导员、班主任会议，并及时把会议精神</w:t>
            </w:r>
            <w:r w:rsidRPr="001427AB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8"/>
                <w:szCs w:val="28"/>
              </w:rPr>
              <w:t>通知到每一同学，并以班级为单位组织召开防范网络诈骗、远离“校园贷”主题班会。班级</w:t>
            </w:r>
            <w:r w:rsidR="00E7491A" w:rsidRPr="001427AB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8"/>
                <w:szCs w:val="28"/>
              </w:rPr>
              <w:t>要</w:t>
            </w:r>
            <w:r w:rsidRPr="001427AB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8"/>
                <w:szCs w:val="28"/>
              </w:rPr>
              <w:t>结合由“校园贷”引发的</w:t>
            </w:r>
            <w:r w:rsidRPr="001427AB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8"/>
                <w:szCs w:val="28"/>
              </w:rPr>
              <w:lastRenderedPageBreak/>
              <w:t>真实案件、宣传教育视频等手段向同学们介绍了关于“校园贷”方面的知识，包括“校园贷”的种类、使用者、</w:t>
            </w:r>
            <w:r w:rsidR="00E7491A" w:rsidRPr="001427AB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8"/>
                <w:szCs w:val="28"/>
              </w:rPr>
              <w:t>高利息和归还方式等，指出</w:t>
            </w:r>
            <w:r w:rsidRPr="001427AB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8"/>
                <w:szCs w:val="28"/>
              </w:rPr>
              <w:t>“校园贷”中隐藏的陷阱，例如费率不明、风险难控、校园代理人无资质、不文明催收等，</w:t>
            </w:r>
            <w:r w:rsidR="00E7491A" w:rsidRPr="001427AB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8"/>
                <w:szCs w:val="28"/>
              </w:rPr>
              <w:t>以</w:t>
            </w:r>
            <w:r w:rsidR="00E7491A" w:rsidRPr="001427A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加强对学生金融、法律和网络安全知识普及</w:t>
            </w:r>
            <w:r w:rsidR="00FD320C" w:rsidRPr="001427A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教育</w:t>
            </w:r>
            <w:r w:rsidR="00E7491A" w:rsidRPr="001427A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，</w:t>
            </w:r>
            <w:r w:rsidR="00274E97" w:rsidRPr="001427AB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8"/>
                <w:szCs w:val="28"/>
              </w:rPr>
              <w:t>同时各班级结合一些其他常见诈骗案例，提醒同学们在防范校园网贷风险的同时也要留意诸如网络兼职、电信诈骗等陷阱，坚决杜绝此类事件的发生。</w:t>
            </w:r>
            <w:r w:rsidR="00E7491A" w:rsidRPr="001427A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要强化消费观和创业观教育，</w:t>
            </w:r>
            <w:r w:rsidR="00FD320C" w:rsidRPr="001427AB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8"/>
                <w:szCs w:val="28"/>
              </w:rPr>
              <w:t>引导学生理性消费，不要盲目追求奢侈品，不贪图虚荣，帮助学生建立正确的人生观、世界观、价值观。要</w:t>
            </w:r>
            <w:r w:rsidR="00E7491A" w:rsidRPr="001427A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大力营造崇尚节约的校园文化环境，倡导树立文明、理性、科学的消费观和创业观。</w:t>
            </w:r>
          </w:p>
          <w:p w:rsidR="0019315C" w:rsidRPr="001427AB" w:rsidRDefault="00837542" w:rsidP="00274E97">
            <w:pPr>
              <w:widowControl/>
              <w:spacing w:line="480" w:lineRule="auto"/>
              <w:ind w:firstLine="560"/>
              <w:rPr>
                <w:rFonts w:asciiTheme="majorEastAsia" w:eastAsiaTheme="majorEastAsia" w:hAnsiTheme="majorEastAsia" w:cs="Times New Roman"/>
                <w:color w:val="000000"/>
                <w:kern w:val="0"/>
                <w:sz w:val="28"/>
                <w:szCs w:val="28"/>
              </w:rPr>
            </w:pPr>
            <w:r w:rsidRPr="001427AB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8"/>
                <w:szCs w:val="28"/>
              </w:rPr>
              <w:t>3、加强</w:t>
            </w:r>
            <w:r w:rsidR="00FC0CDE" w:rsidRPr="001427AB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8"/>
                <w:szCs w:val="28"/>
              </w:rPr>
              <w:t>教育</w:t>
            </w:r>
            <w:r w:rsidRPr="001427AB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8"/>
                <w:szCs w:val="28"/>
              </w:rPr>
              <w:t>整治工作：各</w:t>
            </w:r>
            <w:r w:rsidRPr="001427A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系要在全面摸底排查的基础上，</w:t>
            </w:r>
            <w:r w:rsidR="00FC0CDE" w:rsidRPr="001427A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组织开展好</w:t>
            </w:r>
            <w:r w:rsidR="00FD320C" w:rsidRPr="001427A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本系</w:t>
            </w:r>
            <w:r w:rsidR="00FC0CDE" w:rsidRPr="001427AB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“校园贷”教育</w:t>
            </w:r>
            <w:r w:rsidR="00FC0CDE" w:rsidRPr="001427AB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8"/>
                <w:szCs w:val="28"/>
              </w:rPr>
              <w:t>整治</w:t>
            </w:r>
            <w:r w:rsidR="00FD320C" w:rsidRPr="001427AB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8"/>
                <w:szCs w:val="28"/>
              </w:rPr>
              <w:t>工作。要制定具体实施方案和措施。分解细化任务，层层落实责任，务求实效长效；对排查出的问题要记录在案，跟踪整改，闭环管理；</w:t>
            </w:r>
            <w:r w:rsidR="00274E97" w:rsidRPr="001427AB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8"/>
                <w:szCs w:val="28"/>
              </w:rPr>
              <w:t>要形成书面总结报告（工作开展情况、存在问题及下步工作建议）于12月23日前书面报</w:t>
            </w:r>
            <w:r w:rsidR="00C108CB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8"/>
                <w:szCs w:val="28"/>
              </w:rPr>
              <w:t>保卫</w:t>
            </w:r>
            <w:r w:rsidR="00274E97" w:rsidRPr="001427AB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8"/>
                <w:szCs w:val="28"/>
              </w:rPr>
              <w:t>处（电子版</w:t>
            </w:r>
            <w:r w:rsidR="00C108CB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8"/>
                <w:szCs w:val="28"/>
              </w:rPr>
              <w:t>分别发送</w:t>
            </w:r>
            <w:r w:rsidR="00274E97" w:rsidRPr="001427AB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8"/>
                <w:szCs w:val="28"/>
              </w:rPr>
              <w:t>至</w:t>
            </w:r>
            <w:r w:rsidR="00C108CB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8"/>
                <w:szCs w:val="28"/>
              </w:rPr>
              <w:t>保卫处、</w:t>
            </w:r>
            <w:r w:rsidR="00274E97" w:rsidRPr="001427AB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8"/>
                <w:szCs w:val="28"/>
              </w:rPr>
              <w:t>学生处）。</w:t>
            </w:r>
          </w:p>
          <w:p w:rsidR="0019315C" w:rsidRPr="001427AB" w:rsidRDefault="00274E97" w:rsidP="00274E97">
            <w:pPr>
              <w:widowControl/>
              <w:spacing w:line="480" w:lineRule="auto"/>
              <w:ind w:firstLine="560"/>
              <w:rPr>
                <w:rFonts w:asciiTheme="majorEastAsia" w:eastAsiaTheme="majorEastAsia" w:hAnsiTheme="majorEastAsia" w:cs="Times New Roman"/>
                <w:color w:val="000000"/>
                <w:kern w:val="0"/>
                <w:sz w:val="28"/>
                <w:szCs w:val="28"/>
              </w:rPr>
            </w:pPr>
            <w:r w:rsidRPr="001427AB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8"/>
                <w:szCs w:val="28"/>
              </w:rPr>
              <w:t xml:space="preserve">                                       </w:t>
            </w:r>
            <w:r w:rsidR="00C108CB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8"/>
                <w:szCs w:val="28"/>
              </w:rPr>
              <w:t>保卫处、</w:t>
            </w:r>
            <w:r w:rsidRPr="001427AB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8"/>
                <w:szCs w:val="28"/>
              </w:rPr>
              <w:t>学生处</w:t>
            </w:r>
          </w:p>
          <w:p w:rsidR="0019315C" w:rsidRPr="0019315C" w:rsidRDefault="00274E97" w:rsidP="00274E97">
            <w:pPr>
              <w:widowControl/>
              <w:spacing w:line="480" w:lineRule="auto"/>
              <w:ind w:firstLine="560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1427AB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8"/>
                <w:szCs w:val="28"/>
              </w:rPr>
              <w:t xml:space="preserve">                                      2016年12月1</w:t>
            </w:r>
            <w:r w:rsidR="00C108CB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8"/>
                <w:szCs w:val="28"/>
              </w:rPr>
              <w:t>2</w:t>
            </w:r>
            <w:r w:rsidRPr="001427AB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19315C" w:rsidRPr="00274E97" w:rsidRDefault="0019315C" w:rsidP="00FC0CDE">
      <w:pPr>
        <w:widowControl/>
        <w:spacing w:line="480" w:lineRule="auto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</w:p>
    <w:p w:rsidR="005C3172" w:rsidRPr="00274E97" w:rsidRDefault="000C26F3">
      <w:pPr>
        <w:rPr>
          <w:rFonts w:asciiTheme="majorEastAsia" w:eastAsiaTheme="majorEastAsia" w:hAnsiTheme="majorEastAsia"/>
          <w:sz w:val="24"/>
          <w:szCs w:val="24"/>
        </w:rPr>
      </w:pPr>
    </w:p>
    <w:sectPr w:rsidR="005C3172" w:rsidRPr="00274E97" w:rsidSect="00132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6F3" w:rsidRDefault="000C26F3" w:rsidP="001427AB">
      <w:r>
        <w:separator/>
      </w:r>
    </w:p>
  </w:endnote>
  <w:endnote w:type="continuationSeparator" w:id="0">
    <w:p w:rsidR="000C26F3" w:rsidRDefault="000C26F3" w:rsidP="0014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6F3" w:rsidRDefault="000C26F3" w:rsidP="001427AB">
      <w:r>
        <w:separator/>
      </w:r>
    </w:p>
  </w:footnote>
  <w:footnote w:type="continuationSeparator" w:id="0">
    <w:p w:rsidR="000C26F3" w:rsidRDefault="000C26F3" w:rsidP="00142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5C"/>
    <w:rsid w:val="000C26F3"/>
    <w:rsid w:val="001042E5"/>
    <w:rsid w:val="0013208B"/>
    <w:rsid w:val="001427AB"/>
    <w:rsid w:val="0019315C"/>
    <w:rsid w:val="002172DE"/>
    <w:rsid w:val="00274E97"/>
    <w:rsid w:val="002B7094"/>
    <w:rsid w:val="003319FF"/>
    <w:rsid w:val="0036322D"/>
    <w:rsid w:val="003F0B4F"/>
    <w:rsid w:val="006F560B"/>
    <w:rsid w:val="00837542"/>
    <w:rsid w:val="008808AC"/>
    <w:rsid w:val="009C6ED0"/>
    <w:rsid w:val="00C108CB"/>
    <w:rsid w:val="00E7491A"/>
    <w:rsid w:val="00FC0CDE"/>
    <w:rsid w:val="00FD320C"/>
    <w:rsid w:val="00FD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2D1C95-9202-4322-9204-4F050845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09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B709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B7094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2B7094"/>
    <w:rPr>
      <w:b/>
      <w:bCs/>
    </w:rPr>
  </w:style>
  <w:style w:type="character" w:customStyle="1" w:styleId="timestyle826473479397491">
    <w:name w:val="timestyle826473479_397491"/>
    <w:basedOn w:val="a0"/>
    <w:rsid w:val="0019315C"/>
    <w:rPr>
      <w:sz w:val="18"/>
      <w:szCs w:val="18"/>
    </w:rPr>
  </w:style>
  <w:style w:type="paragraph" w:styleId="a4">
    <w:name w:val="Normal (Web)"/>
    <w:basedOn w:val="a"/>
    <w:uiPriority w:val="99"/>
    <w:unhideWhenUsed/>
    <w:rsid w:val="001931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1427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427A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427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427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9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930</Characters>
  <Application>Microsoft Office Word</Application>
  <DocSecurity>0</DocSecurity>
  <Lines>7</Lines>
  <Paragraphs>2</Paragraphs>
  <ScaleCrop>false</ScaleCrop>
  <Company>Microsoft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学生处</cp:lastModifiedBy>
  <cp:revision>2</cp:revision>
  <dcterms:created xsi:type="dcterms:W3CDTF">2016-12-12T00:41:00Z</dcterms:created>
  <dcterms:modified xsi:type="dcterms:W3CDTF">2016-12-12T00:41:00Z</dcterms:modified>
</cp:coreProperties>
</file>